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5E5EF3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0E555CB5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5E5EF3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3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1B2A434E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5E5EF3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3</w:t>
            </w:r>
          </w:p>
          <w:p w14:paraId="39E68D95" w14:textId="3FCC7110" w:rsidR="002A218E" w:rsidRPr="00A05092" w:rsidRDefault="005E5EF3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5E5EF3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d’échantillons biologiques pour l’Artois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CED0D0C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1A8BC8" w14:textId="610CAF2C" w:rsidR="005E5EF3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EA90247" w14:textId="77777777" w:rsidR="005E5EF3" w:rsidRPr="007B301D" w:rsidRDefault="005E5EF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5E5EF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25A45047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4668213D" w:rsidR="007B301D" w:rsidRPr="004B07C4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359DDF07" w:rsidR="007B301D" w:rsidRPr="004B07C4" w:rsidRDefault="00A05092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1EB130C9" w:rsidR="00DD5BD8" w:rsidRDefault="005E5EF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3020EC9A" w:rsidR="00A05092" w:rsidRDefault="00A05092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5E5EF3">
        <w:rPr>
          <w:rFonts w:ascii="Arial" w:hAnsi="Arial" w:cs="Arial"/>
          <w:sz w:val="22"/>
        </w:rPr>
      </w:r>
      <w:r w:rsidR="005E5EF3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2A009E95" w:rsidR="00B31653" w:rsidRDefault="00B31653" w:rsidP="008C5F46">
      <w:pPr>
        <w:rPr>
          <w:lang w:val="fr-FR"/>
        </w:rPr>
      </w:pPr>
    </w:p>
    <w:p w14:paraId="74D093F7" w14:textId="11370A25" w:rsidR="005E5EF3" w:rsidRDefault="005E5EF3" w:rsidP="008C5F46">
      <w:pPr>
        <w:rPr>
          <w:lang w:val="fr-FR"/>
        </w:rPr>
      </w:pPr>
    </w:p>
    <w:p w14:paraId="078CEABD" w14:textId="77777777" w:rsidR="005E5EF3" w:rsidRDefault="005E5EF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E5EF3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5E5EF3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5E5EF3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5E5EF3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E5EF3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E5EF3">
              <w:rPr>
                <w:rFonts w:ascii="Arial" w:hAnsi="Arial" w:cs="Arial"/>
              </w:rPr>
            </w:r>
            <w:r w:rsidR="005E5EF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5E5EF3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5E5EF3">
        <w:rPr>
          <w:rFonts w:ascii="Arial" w:hAnsi="Arial" w:cs="Arial"/>
        </w:rPr>
      </w:r>
      <w:r w:rsidR="005E5EF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79FF1577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5E5EF3">
        <w:rPr>
          <w:rFonts w:ascii="Calibri" w:eastAsia="Calibri" w:hAnsi="Calibri" w:cs="Calibri"/>
          <w:b/>
          <w:color w:val="000000"/>
          <w:sz w:val="20"/>
          <w:lang w:val="fr-FR"/>
        </w:rPr>
        <w:t>3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5E5EF3">
        <w:rPr>
          <w:sz w:val="20"/>
          <w:szCs w:val="20"/>
        </w:rPr>
      </w:r>
      <w:r w:rsidR="005E5EF3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3AC328F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E5EF3">
        <w:rPr>
          <w:rFonts w:asciiTheme="minorHAnsi" w:hAnsiTheme="minorHAnsi" w:cstheme="minorHAnsi"/>
          <w:sz w:val="22"/>
          <w:szCs w:val="22"/>
        </w:rPr>
      </w:r>
      <w:r w:rsidR="005E5EF3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5E5EF3">
        <w:rPr>
          <w:rFonts w:asciiTheme="minorHAnsi" w:hAnsiTheme="minorHAnsi" w:cstheme="minorHAnsi"/>
          <w:b/>
          <w:szCs w:val="22"/>
        </w:rPr>
        <w:t>3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7FCE19F8" w14:textId="13336A62" w:rsidR="00A51945" w:rsidRDefault="005E5EF3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5E5EF3">
        <w:rPr>
          <w:rFonts w:asciiTheme="minorHAnsi" w:hAnsiTheme="minorHAnsi" w:cstheme="minorHAnsi"/>
          <w:b/>
          <w:i/>
          <w:szCs w:val="22"/>
        </w:rPr>
        <w:t>Courses urgentes non programmées : Prestation de transport d’échantillons biologiques pour l’Artois</w:t>
      </w:r>
    </w:p>
    <w:p w14:paraId="3684E826" w14:textId="77777777" w:rsidR="005E5EF3" w:rsidRPr="008C517E" w:rsidRDefault="005E5EF3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E5EF3">
        <w:rPr>
          <w:rFonts w:asciiTheme="minorHAnsi" w:hAnsiTheme="minorHAnsi" w:cstheme="minorHAnsi"/>
          <w:sz w:val="22"/>
          <w:szCs w:val="22"/>
        </w:rPr>
      </w:r>
      <w:r w:rsidR="005E5EF3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5E5EF3">
        <w:rPr>
          <w:rFonts w:asciiTheme="minorHAnsi" w:hAnsiTheme="minorHAnsi" w:cstheme="minorHAnsi"/>
          <w:szCs w:val="22"/>
        </w:rPr>
      </w:r>
      <w:r w:rsidR="005E5EF3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5E5EF3">
        <w:rPr>
          <w:rFonts w:asciiTheme="minorHAnsi" w:hAnsiTheme="minorHAnsi" w:cstheme="minorHAnsi"/>
          <w:szCs w:val="22"/>
        </w:rPr>
      </w:r>
      <w:r w:rsidR="005E5EF3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5E5EF3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07C578B8" w:rsid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5E5EF3">
              <w:rPr>
                <w:rFonts w:ascii="Calibri" w:eastAsia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40603176" w:rsidR="00A05092" w:rsidRPr="00F9549E" w:rsidRDefault="005E5EF3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80</w:t>
            </w:r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29158B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7E2C6F1A" w14:textId="77777777" w:rsidR="005E5EF3" w:rsidRDefault="005E5EF3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5E5EF3">
        <w:rPr>
          <w:rFonts w:asciiTheme="minorHAnsi" w:hAnsiTheme="minorHAnsi" w:cstheme="minorHAnsi"/>
        </w:rPr>
      </w:r>
      <w:r w:rsidR="005E5EF3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5E5EF3">
        <w:rPr>
          <w:rFonts w:asciiTheme="minorHAnsi" w:hAnsiTheme="minorHAnsi" w:cstheme="minorHAnsi"/>
        </w:rPr>
      </w:r>
      <w:r w:rsidR="005E5EF3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E5EF3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E5EF3">
              <w:rPr>
                <w:rFonts w:asciiTheme="minorHAnsi" w:hAnsiTheme="minorHAnsi" w:cstheme="minorHAnsi"/>
                <w:sz w:val="20"/>
                <w:szCs w:val="20"/>
              </w:rPr>
            </w:r>
            <w:r w:rsidR="005E5EF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5E5EF3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E5EF3">
              <w:rPr>
                <w:rFonts w:asciiTheme="minorHAnsi" w:hAnsiTheme="minorHAnsi" w:cstheme="minorHAnsi"/>
                <w:sz w:val="20"/>
                <w:szCs w:val="20"/>
              </w:rPr>
            </w:r>
            <w:r w:rsidR="005E5EF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5E5EF3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E5EF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E5EF3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E5EF3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E5EF3">
        <w:rPr>
          <w:rFonts w:asciiTheme="minorHAnsi" w:hAnsiTheme="minorHAnsi" w:cstheme="minorHAnsi"/>
          <w:sz w:val="20"/>
          <w:szCs w:val="20"/>
        </w:rPr>
      </w:r>
      <w:r w:rsidR="005E5EF3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5E5EF3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4AE4B4A6" w:rsidR="00A51945" w:rsidRDefault="005E5EF3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03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2FC7E453" w:rsidR="00A51945" w:rsidRPr="00F9549E" w:rsidRDefault="005E5EF3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80</w:t>
            </w:r>
            <w:bookmarkStart w:id="21" w:name="_GoBack"/>
            <w:bookmarkEnd w:id="21"/>
            <w:r w:rsidR="00A51945"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391EEFA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E5EF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E5EF3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5E5EF3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13969-4D09-4098-9518-BFD6DF44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1706</Words>
  <Characters>9387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13</cp:revision>
  <dcterms:created xsi:type="dcterms:W3CDTF">2024-10-22T16:07:00Z</dcterms:created>
  <dcterms:modified xsi:type="dcterms:W3CDTF">2025-10-06T12:19:00Z</dcterms:modified>
</cp:coreProperties>
</file>